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6"/>
        <w:tblGridChange w:id="0">
          <w:tblGrid>
            <w:gridCol w:w="9496"/>
          </w:tblGrid>
        </w:tblGridChange>
      </w:tblGrid>
      <w:tr>
        <w:trPr>
          <w:cantSplit w:val="0"/>
          <w:trHeight w:val="1238.714843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CONCURSO PÚBLICO 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 LLAMADO PARA LA COBERTURA DE CARGOS Y HORAS CÁTEDRAS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BACHILLERATO POPULAR “ PRESENTE” - RÍO GRANDE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CARGO: 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ORIENTADOR/A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ALVARADO, VERONICA - DNI 32.768.345 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 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ADORNO, GUADALUPE - DNI 35.885.569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 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DIAZ, ANDREA VERONICA - DNI 34.659.558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23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FILOSOFÍA Y PSICOLOGÍA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TATAR, VANINA STELLA MARIS - DNI 34.375.358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SEGUNDO LISTADO HABILITANTE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SCHARGORODSKY, JAVIER - DNI 29.946.298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TORRES SOTELO, MARIA ADELA - DNI 28.604.671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TERCER LISTADO IDÓNEO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RÍOS, DANTE MAURICIO - DNI 34.375.826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BIOLOGÍA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SEGUNDO LISTADO HABILITANTE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MUÑOZ SALDIVIA, JORGE EDUARDO- DNI 34.978.075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EXPRESIÓN ORAL Y ESCRITA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 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ACEVEDO, SERGIO EDUARDO OSCAR - DNI 33.993.584</w:t>
            </w:r>
          </w:p>
        </w:tc>
      </w:tr>
    </w:tbl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SEGUNDO LISTADO HABILITANTE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MUÑOZ SALDIVIA, JORGE EDUARDO- DNI 34.978.075</w:t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>
        <w:rFonts w:ascii="Trebuchet MS" w:cs="Trebuchet MS" w:eastAsia="Trebuchet MS" w:hAnsi="Trebuchet MS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rPr>
        <w:rFonts w:ascii="Trebuchet MS" w:cs="Trebuchet MS" w:eastAsia="Trebuchet MS" w:hAnsi="Trebuchet MS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w9DpMmOmpzOQzdo+3fPzvliMvg==">CgMxLjA4AHIhMWZhaXZaVzZtNTJNNlFhdW0yUGQ3bm9PekZoX1czY0tf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