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0" w:before="0" w:line="331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none"/>
          <w:rtl w:val="0"/>
        </w:rPr>
        <w:t xml:space="preserve">Convocatoria - Perfil Bibliotecario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Pedagógico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no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CInDE </w:t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40" w:before="240" w:line="331" w:lineRule="auto"/>
        <w:ind w:left="0" w:right="0" w:firstLine="72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La Dirección Provincial de Planeamiento Educativo Provincial  abre la convocatoria para la </w:t>
      </w:r>
      <w:r w:rsidDel="00000000" w:rsidR="00000000" w:rsidRPr="00000000">
        <w:rPr>
          <w:sz w:val="20"/>
          <w:szCs w:val="20"/>
          <w:rtl w:val="0"/>
        </w:rPr>
        <w:t xml:space="preserve">comisión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 de servicios  a 1 (un) perfil  docente bibliotecario en la ciudad de </w:t>
      </w:r>
      <w:r w:rsidDel="00000000" w:rsidR="00000000" w:rsidRPr="00000000">
        <w:rPr>
          <w:sz w:val="20"/>
          <w:szCs w:val="20"/>
          <w:rtl w:val="0"/>
        </w:rPr>
        <w:t xml:space="preserve">Río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 Grande y 1 (un) perfil docente bibliotecario en la ciudad de Ushuaia, con el fin de desarrollar funciones </w:t>
      </w:r>
      <w:r w:rsidDel="00000000" w:rsidR="00000000" w:rsidRPr="00000000">
        <w:rPr>
          <w:sz w:val="20"/>
          <w:szCs w:val="20"/>
          <w:rtl w:val="0"/>
        </w:rPr>
        <w:t xml:space="preserve">específicas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u w:val="no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80" w:before="280" w:line="331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u w:val="none"/>
          <w:rtl w:val="0"/>
        </w:rPr>
        <w:t xml:space="preserve">Marco de la convocatoria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Las Bibliotecas Pedagógicas funcionan anexas al C.In.D.E. desde su creación (1985); en primera instancia se creó la sede de la ciudad de Ushuaia, la cual funciona de forma ininterrumpida desde entonces, y posteriormente la de la ciudad de Río Grande ( 2018)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A partir del año 2001 se incorpora a las Bibliotecas Pedagógicas a la Red Federal de Bibliotecas Pedagógicas de la Argentina, red que depende del Ministerio de Educación de la Nación.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En el año 2005, se formaliza el funcionamiento de las Bibliotecas Pedagógicas, mediante el Artículo 2° de la Resolución M.E. y C. N° 1614/05.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Estas Bibliotecas, como también esta Dirección C.In.D.E, forman parte del Convenio Marco de Cooperación 67/03, firmado entre el Ministerio de Educación de la Nación y la Provincia, el cual se encuentra vigente a la fecha. Y las mismas forman parte de la Ley Nacional 26.917, Sistema Nacional de Bibliotecas Escolares y Unidades de Información Educativa.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Las Bibliotecas Pedagógicas dependen directamente de la Dirección Provincial de C.In.D.E., y de la estructura orgánica de este ministerio, siendo esta su dependencia ministerial en la estructura orgánica.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0" w:right="0"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Si bien entre sus servicios se encuentra la interacción con otras unidades de información y bibliotecas,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202124"/>
          <w:sz w:val="24"/>
          <w:szCs w:val="24"/>
          <w:rtl w:val="0"/>
        </w:rPr>
        <w:t xml:space="preserve">no es una biblioteca escolar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202124"/>
          <w:sz w:val="24"/>
          <w:szCs w:val="24"/>
          <w:rtl w:val="0"/>
        </w:rPr>
        <w:t xml:space="preserve">, sino una biblioteca especializada en temática pedagógica, por lo que abarca todos los niveles y modalidades del sistema educativo.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0" w:right="0" w:firstLine="720"/>
        <w:jc w:val="both"/>
        <w:rPr>
          <w:b w:val="0"/>
          <w:bCs w:val="0"/>
          <w:sz w:val="20"/>
          <w:szCs w:val="20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color w:val="000000"/>
          <w:sz w:val="20"/>
          <w:szCs w:val="20"/>
          <w:u w:val="none"/>
          <w:rtl w:val="0"/>
        </w:rPr>
        <w:t xml:space="preserve">Con posterioridad </w:t>
      </w:r>
      <w:r w:rsidDel="00000000" w:rsidR="00000000" w:rsidRPr="00000000">
        <w:rPr>
          <w:rFonts w:ascii="Arial" w:cs="Arial" w:eastAsia="Arial" w:hAnsi="Arial"/>
          <w:b w:val="0"/>
          <w:bCs w:val="0"/>
          <w:color w:val="202124"/>
          <w:sz w:val="20"/>
          <w:szCs w:val="20"/>
          <w:rtl w:val="0"/>
        </w:rPr>
        <w:t xml:space="preserve">al periodo de aportes realizados  por los/las Docentes Bibliotecarios de la Provincia TDFAeIAS sobre perfil y procedimiento para la convocatoria se convoca a postulantes a la comisión de servicios de la Biblioteca Pedagógica CInDE</w:t>
      </w: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 tanto en la ciudad de </w:t>
      </w:r>
      <w:r w:rsidDel="00000000" w:rsidR="00000000" w:rsidRPr="00000000">
        <w:rPr>
          <w:sz w:val="20"/>
          <w:szCs w:val="20"/>
          <w:rtl w:val="0"/>
        </w:rPr>
        <w:t xml:space="preserve">Río</w:t>
      </w:r>
      <w:r w:rsidDel="00000000" w:rsidR="00000000" w:rsidRPr="00000000">
        <w:rPr>
          <w:rFonts w:ascii="Arial" w:cs="Arial" w:eastAsia="Arial" w:hAnsi="Arial"/>
          <w:b w:val="0"/>
          <w:bCs w:val="0"/>
          <w:sz w:val="20"/>
          <w:szCs w:val="20"/>
          <w:rtl w:val="0"/>
        </w:rPr>
        <w:t xml:space="preserve"> Grande como en la ciudad de Ushuaia.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0" w:right="0" w:firstLine="0"/>
        <w:jc w:val="both"/>
        <w:rPr>
          <w:b w:val="0"/>
          <w:bCs w:val="0"/>
          <w:i w:val="1"/>
          <w:iCs w:val="1"/>
          <w:color w:val="000000"/>
          <w:sz w:val="20"/>
          <w:szCs w:val="20"/>
          <w:u w:val="single"/>
          <w:shd w:fill="auto" w:val="clear"/>
        </w:rPr>
      </w:pP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Cronograma de Convocatoria: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70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Del 05/12/25 hasta el 13/12/25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Recepción de los/las postulantes a comisión de servicios Bibliotecario Pedagógico CInDE</w:t>
      </w:r>
      <w:r w:rsidDel="00000000" w:rsidR="00000000" w:rsidRPr="00000000">
        <w:rPr>
          <w:sz w:val="20"/>
          <w:szCs w:val="20"/>
          <w:rtl w:val="0"/>
        </w:rPr>
        <w:t xml:space="preserve">. La misma se realiza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a través del siguiente formulario que se detalla a continuaci</w:t>
      </w:r>
      <w:r w:rsidDel="00000000" w:rsidR="00000000" w:rsidRPr="00000000">
        <w:rPr>
          <w:sz w:val="20"/>
          <w:szCs w:val="20"/>
          <w:rtl w:val="0"/>
        </w:rPr>
        <w:t xml:space="preserve">ón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:  </w:t>
      </w: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https://forms.gle/No62ArbVkNosLibN9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0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14/12/2026 – </w:t>
      </w:r>
      <w:r w:rsidDel="00000000" w:rsidR="00000000" w:rsidRPr="00000000">
        <w:rPr>
          <w:sz w:val="20"/>
          <w:szCs w:val="20"/>
          <w:rtl w:val="0"/>
        </w:rPr>
        <w:t xml:space="preserve">Remisión de confirmación de inscripción a los/las postulantes y de las  Bases del concurso.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709" w:right="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14/12/2025 al 17/12/2025 – Merituación de antecedentes profesionales presentados por los/las postulantes.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70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18/12/2025 – Publicación de los listados de los/las postulantes según orden de mérito.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70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Del 18/12/25 hasta el 19/12/2025 – Período de 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econsideración</w:t>
      </w:r>
      <w:r w:rsidDel="00000000" w:rsidR="00000000" w:rsidRPr="00000000">
        <w:rPr>
          <w:sz w:val="20"/>
          <w:szCs w:val="20"/>
          <w:rtl w:val="0"/>
        </w:rPr>
        <w:t xml:space="preserve"> de la Merituación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76" w:lineRule="auto"/>
        <w:ind w:left="70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Del 10/02/2026 al 23/02/2026 Entrevistas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postulantes Bibliotecarias/os según su puntaje.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0" w:lineRule="auto"/>
        <w:ind w:left="709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24/02/2026 Publicación de los listados de los/las postulantes según orden de mérito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200" w:before="0" w:line="276" w:lineRule="auto"/>
        <w:ind w:left="709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01/03/2026 –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0"/>
          <w:szCs w:val="20"/>
          <w:u w:val="none"/>
          <w:shd w:fill="auto" w:val="clear"/>
          <w:vertAlign w:val="baseline"/>
          <w:rtl w:val="0"/>
        </w:rPr>
        <w:t xml:space="preserve">Inicio de la comisión de servicios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9" w:hanging="359.99999999999994"/>
      </w:pPr>
      <w:rPr/>
    </w:lvl>
    <w:lvl w:ilvl="1">
      <w:start w:val="1"/>
      <w:numFmt w:val="lowerLetter"/>
      <w:lvlText w:val="%2."/>
      <w:lvlJc w:val="left"/>
      <w:pPr>
        <w:ind w:left="1429" w:hanging="360"/>
      </w:pPr>
      <w:rPr/>
    </w:lvl>
    <w:lvl w:ilvl="2">
      <w:start w:val="1"/>
      <w:numFmt w:val="lowerRoman"/>
      <w:lvlText w:val="%3."/>
      <w:lvlJc w:val="right"/>
      <w:pPr>
        <w:ind w:left="2149" w:hanging="180"/>
      </w:pPr>
      <w:rPr/>
    </w:lvl>
    <w:lvl w:ilvl="3">
      <w:start w:val="1"/>
      <w:numFmt w:val="decimal"/>
      <w:lvlText w:val="%4."/>
      <w:lvlJc w:val="left"/>
      <w:pPr>
        <w:ind w:left="2869" w:hanging="360"/>
      </w:pPr>
      <w:rPr/>
    </w:lvl>
    <w:lvl w:ilvl="4">
      <w:start w:val="1"/>
      <w:numFmt w:val="lowerLetter"/>
      <w:lvlText w:val="%5."/>
      <w:lvlJc w:val="left"/>
      <w:pPr>
        <w:ind w:left="3589" w:hanging="360"/>
      </w:pPr>
      <w:rPr/>
    </w:lvl>
    <w:lvl w:ilvl="5">
      <w:start w:val="1"/>
      <w:numFmt w:val="lowerRoman"/>
      <w:lvlText w:val="%6."/>
      <w:lvlJc w:val="right"/>
      <w:pPr>
        <w:ind w:left="4309" w:hanging="180"/>
      </w:pPr>
      <w:rPr/>
    </w:lvl>
    <w:lvl w:ilvl="6">
      <w:start w:val="1"/>
      <w:numFmt w:val="decimal"/>
      <w:lvlText w:val="%7."/>
      <w:lvlJc w:val="left"/>
      <w:pPr>
        <w:ind w:left="5029" w:hanging="360"/>
      </w:pPr>
      <w:rPr/>
    </w:lvl>
    <w:lvl w:ilvl="7">
      <w:start w:val="1"/>
      <w:numFmt w:val="lowerLetter"/>
      <w:lvlText w:val="%8."/>
      <w:lvlJc w:val="left"/>
      <w:pPr>
        <w:ind w:left="5749" w:hanging="360"/>
      </w:pPr>
      <w:rPr/>
    </w:lvl>
    <w:lvl w:ilvl="8">
      <w:start w:val="1"/>
      <w:numFmt w:val="lowerRoman"/>
      <w:lvlText w:val="%9."/>
      <w:lvlJc w:val="right"/>
      <w:pPr>
        <w:ind w:left="6469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ebf7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ebf7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69a3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eebf6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4d1ec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4d1ec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5b9bd5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6d7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ff2cb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28a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fc000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9bee4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9bee4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07abd" w:themeColor="accent1" w:themeShade="000095" w:themeTint="00008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07abd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07abd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07abd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07abd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07abd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275" w:themeColor="accent5" w:themeShade="000095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54275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54275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54275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54275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54275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eaadb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5b9bd5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5b9bd5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5b9bd5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5b9bd5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5b9bd5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285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965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8eaadb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9d18f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ce0f2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ce0f2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ce0f2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ce0f2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69a3d8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660"/>
    <w:next w:val="660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660"/>
    <w:next w:val="660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660"/>
    <w:next w:val="660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7" w:default="1">
    <w:name w:val="Default Paragraph Font"/>
    <w:uiPriority w:val="1"/>
    <w:semiHidden w:val="1"/>
    <w:unhideWhenUsed w:val="1"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65">
    <w:name w:val="Intense Emphasis"/>
    <w:basedOn w:val="14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660"/>
    <w:next w:val="660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14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character" w:styleId="170">
    <w:name w:val="Subtle Emphasis"/>
    <w:basedOn w:val="14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147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147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14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14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660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 w:val="1"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 w:val="1"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 w:val="1"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 w:val="1"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 w:val="1"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 w:val="1"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 w:val="1"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 w:val="1"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 w:val="1"/>
    <w:pPr>
      <w:pBdr/>
      <w:spacing w:after="100"/>
      <w:ind w:left="1760"/>
    </w:pPr>
  </w:style>
  <w:style w:type="paragraph" w:styleId="206">
    <w:name w:val="TOC Heading"/>
    <w:uiPriority w:val="39"/>
    <w:unhideWhenUsed w:val="1"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 w:val="1"/>
    <w:pPr>
      <w:pBdr/>
      <w:spacing w:after="0" w:afterAutospacing="0"/>
      <w:ind/>
    </w:pPr>
  </w:style>
  <w:style w:type="table" w:styleId="661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 w:val="1"/>
    <w:unhideWhenUsed w:val="1"/>
    <w:pPr>
      <w:pBdr/>
      <w:spacing/>
      <w:ind/>
    </w:pPr>
  </w:style>
  <w:style w:type="paragraph" w:styleId="663">
    <w:name w:val="No Spacing"/>
    <w:basedOn w:val="660"/>
    <w:uiPriority w:val="1"/>
    <w:qFormat w:val="1"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 w:val="1"/>
    <w:pPr>
      <w:pBdr/>
      <w:spacing/>
      <w:ind w:left="720"/>
      <w:contextualSpacing w:val="1"/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No62ArbVkNosLibN9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0wxwRMmsT5IUnMVNXOmC62dLQg==">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